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15" w:type="dxa"/>
        <w:tblLook w:val="0000" w:firstRow="0" w:lastRow="0" w:firstColumn="0" w:lastColumn="0" w:noHBand="0" w:noVBand="0"/>
      </w:tblPr>
      <w:tblGrid>
        <w:gridCol w:w="3972"/>
        <w:gridCol w:w="5613"/>
      </w:tblGrid>
      <w:tr w:rsidR="00D76FC0" w14:paraId="4E4EBB38" w14:textId="77777777" w:rsidTr="00C21FFF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0F6EC" w14:textId="77777777" w:rsidR="00D76FC0" w:rsidRDefault="00D76FC0" w:rsidP="00C21FF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8D19A4" wp14:editId="371D900E">
                  <wp:extent cx="2171700" cy="1057275"/>
                  <wp:effectExtent l="0" t="0" r="0" b="0"/>
                  <wp:docPr id="2" name="Рисунок 2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BC9D" w14:textId="77777777" w:rsidR="00D76FC0" w:rsidRDefault="00D76FC0" w:rsidP="00C21FF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996B1" w14:textId="77777777" w:rsidR="00D76FC0" w:rsidRPr="003253C1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r>
              <w:rPr>
                <w:rFonts w:ascii="Georgia" w:hAnsi="Georgia"/>
                <w:sz w:val="20"/>
                <w:szCs w:val="20"/>
              </w:rPr>
              <w:t>г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Минск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14:paraId="4FF70554" w14:textId="77777777"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14:paraId="5294391D" w14:textId="77777777" w:rsidR="00D76FC0" w:rsidRPr="008F64EB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14:paraId="1B5FDFF5" w14:textId="77777777" w:rsidR="00D76FC0" w:rsidRPr="008F64EB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14:paraId="481F8C5A" w14:textId="77777777"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Кальварийская, 4а </w:t>
            </w:r>
          </w:p>
          <w:p w14:paraId="7D582412" w14:textId="77777777" w:rsidR="00D76FC0" w:rsidRPr="00317ABD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17ABD">
              <w:rPr>
                <w:rFonts w:ascii="Georgia" w:hAnsi="Georgia"/>
                <w:sz w:val="20"/>
                <w:szCs w:val="20"/>
              </w:rPr>
              <w:t>BIC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  <w:r w:rsidRPr="00317ABD">
              <w:rPr>
                <w:rFonts w:ascii="Georgia" w:hAnsi="Georgia"/>
                <w:sz w:val="20"/>
                <w:szCs w:val="20"/>
              </w:rPr>
              <w:t xml:space="preserve"> BPSBBY2X</w:t>
            </w:r>
          </w:p>
          <w:p w14:paraId="396CBC67" w14:textId="77777777"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тел/факс  + 375 (17) - 256-28-17</w:t>
            </w:r>
          </w:p>
          <w:p w14:paraId="1B848A9F" w14:textId="77777777"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9" w:history="1">
              <w:r w:rsidRPr="00551169">
                <w:rPr>
                  <w:rStyle w:val="a9"/>
                  <w:rFonts w:ascii="Georgia" w:eastAsiaTheme="majorEastAs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14:paraId="46C6A903" w14:textId="77777777" w:rsidR="00D76FC0" w:rsidRDefault="00B652DF" w:rsidP="00C21FFF">
            <w:pPr>
              <w:ind w:left="63" w:right="-143"/>
              <w:rPr>
                <w:rFonts w:ascii="Georgia" w:hAnsi="Georgia" w:cs="Georgia"/>
                <w:sz w:val="20"/>
                <w:szCs w:val="20"/>
                <w:lang w:val="en-US"/>
              </w:rPr>
            </w:pPr>
            <w:hyperlink r:id="rId10" w:history="1"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www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</w:rPr>
                <w:t>.</w:t>
              </w:r>
              <w:proofErr w:type="spellStart"/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tos</w:t>
              </w:r>
              <w:proofErr w:type="spellEnd"/>
              <w:r w:rsidR="00D76FC0" w:rsidRPr="003253C1">
                <w:rPr>
                  <w:rStyle w:val="a9"/>
                  <w:rFonts w:ascii="Georgia" w:eastAsiaTheme="majorEastAsia" w:hAnsi="Georgia"/>
                  <w:sz w:val="20"/>
                </w:rPr>
                <w:t>-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by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</w:rPr>
                <w:t>.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com</w:t>
              </w:r>
            </w:hyperlink>
            <w:r w:rsidR="00D76FC0">
              <w:rPr>
                <w:rFonts w:ascii="Georgia" w:hAnsi="Georgia" w:cs="Georgi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D713919" w14:textId="77777777" w:rsidR="00D76FC0" w:rsidRDefault="00D76FC0" w:rsidP="00D76FC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</w:t>
      </w:r>
    </w:p>
    <w:p w14:paraId="3BA8412F" w14:textId="093C02B5" w:rsidR="00D76FC0" w:rsidRPr="002976D3" w:rsidRDefault="00D76FC0" w:rsidP="00D76FC0">
      <w:pPr>
        <w:rPr>
          <w:rFonts w:ascii="Georgia" w:hAnsi="Georgia" w:cs="Georgia"/>
          <w:b/>
          <w:bCs/>
          <w:sz w:val="16"/>
          <w:szCs w:val="16"/>
        </w:rPr>
      </w:pPr>
      <w:r w:rsidRPr="00B652DF">
        <w:rPr>
          <w:rFonts w:ascii="Georgia" w:hAnsi="Georgia" w:cs="Georgia"/>
          <w:b/>
          <w:bCs/>
          <w:sz w:val="16"/>
          <w:szCs w:val="16"/>
        </w:rPr>
        <w:t>«</w:t>
      </w:r>
      <w:r w:rsidR="00B652DF">
        <w:rPr>
          <w:rFonts w:ascii="Georgia" w:hAnsi="Georgia" w:cs="Georgia"/>
          <w:b/>
          <w:bCs/>
          <w:sz w:val="16"/>
          <w:szCs w:val="16"/>
        </w:rPr>
        <w:t>29</w:t>
      </w:r>
      <w:r w:rsidRPr="00B652DF">
        <w:rPr>
          <w:rFonts w:ascii="Georgia" w:hAnsi="Georgia" w:cs="Georgia"/>
          <w:b/>
          <w:bCs/>
          <w:sz w:val="16"/>
          <w:szCs w:val="16"/>
        </w:rPr>
        <w:t>»</w:t>
      </w:r>
      <w:r w:rsidR="00B5336F">
        <w:rPr>
          <w:rFonts w:ascii="Georgia" w:hAnsi="Georgia" w:cs="Georgia"/>
          <w:b/>
          <w:bCs/>
          <w:sz w:val="16"/>
          <w:szCs w:val="16"/>
        </w:rPr>
        <w:t xml:space="preserve"> </w:t>
      </w:r>
      <w:r w:rsidR="003826FB">
        <w:rPr>
          <w:rFonts w:ascii="Georgia" w:hAnsi="Georgia" w:cs="Georgia"/>
          <w:b/>
          <w:bCs/>
          <w:sz w:val="16"/>
          <w:szCs w:val="16"/>
        </w:rPr>
        <w:t>сентября</w:t>
      </w:r>
      <w:r w:rsidR="00EA3BC7">
        <w:rPr>
          <w:rFonts w:ascii="Georgia" w:hAnsi="Georgia" w:cs="Georgia"/>
          <w:b/>
          <w:bCs/>
          <w:sz w:val="16"/>
          <w:szCs w:val="16"/>
        </w:rPr>
        <w:t xml:space="preserve"> </w:t>
      </w:r>
      <w:r w:rsidR="00F26E80">
        <w:rPr>
          <w:rFonts w:ascii="Georgia" w:hAnsi="Georgia" w:cs="Georgia"/>
          <w:b/>
          <w:bCs/>
          <w:sz w:val="16"/>
          <w:szCs w:val="16"/>
        </w:rPr>
        <w:t>2</w:t>
      </w:r>
      <w:r w:rsidR="00B5336F" w:rsidRPr="00B652DF">
        <w:rPr>
          <w:rFonts w:ascii="Georgia" w:hAnsi="Georgia" w:cs="Georgia"/>
          <w:b/>
          <w:bCs/>
          <w:sz w:val="16"/>
          <w:szCs w:val="16"/>
        </w:rPr>
        <w:t>0</w:t>
      </w:r>
      <w:r w:rsidR="00B5336F">
        <w:rPr>
          <w:rFonts w:ascii="Georgia" w:hAnsi="Georgia" w:cs="Georgia"/>
          <w:b/>
          <w:bCs/>
          <w:sz w:val="16"/>
          <w:szCs w:val="16"/>
        </w:rPr>
        <w:t>23</w:t>
      </w:r>
      <w:r w:rsidRPr="00B652DF">
        <w:rPr>
          <w:rFonts w:ascii="Georgia" w:hAnsi="Georgia" w:cs="Georgia"/>
          <w:b/>
          <w:bCs/>
          <w:sz w:val="16"/>
          <w:szCs w:val="16"/>
        </w:rPr>
        <w:t xml:space="preserve"> г.  №</w:t>
      </w:r>
      <w:r w:rsidR="00B652DF">
        <w:rPr>
          <w:rFonts w:ascii="Georgia" w:hAnsi="Georgia" w:cs="Georgia"/>
          <w:b/>
          <w:bCs/>
          <w:sz w:val="16"/>
          <w:szCs w:val="16"/>
        </w:rPr>
        <w:t>52</w:t>
      </w:r>
    </w:p>
    <w:p w14:paraId="40D97E64" w14:textId="77777777" w:rsidR="00D76FC0" w:rsidRPr="00122A6D" w:rsidRDefault="00D76FC0" w:rsidP="00D76FC0">
      <w:pPr>
        <w:rPr>
          <w:sz w:val="16"/>
          <w:szCs w:val="16"/>
        </w:rPr>
      </w:pPr>
      <w:r w:rsidRPr="00122A6D">
        <w:rPr>
          <w:sz w:val="16"/>
          <w:szCs w:val="16"/>
        </w:rPr>
        <w:t xml:space="preserve">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76FC0" w14:paraId="78C6DBCA" w14:textId="77777777" w:rsidTr="00C21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80C2" w14:textId="77777777" w:rsidR="003826FB" w:rsidRDefault="003826FB" w:rsidP="003826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</w:t>
            </w:r>
          </w:p>
          <w:p w14:paraId="7763C900" w14:textId="47F643C4" w:rsidR="00D76FC0" w:rsidRDefault="003826FB" w:rsidP="003826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Республики Беларусь</w:t>
            </w:r>
          </w:p>
          <w:p w14:paraId="415862D1" w14:textId="2188A17A" w:rsidR="003826FB" w:rsidRDefault="003826FB" w:rsidP="003826FB">
            <w:pPr>
              <w:spacing w:before="120"/>
              <w:jc w:val="right"/>
              <w:rPr>
                <w:sz w:val="28"/>
                <w:szCs w:val="28"/>
              </w:rPr>
            </w:pPr>
            <w:r w:rsidRPr="003826FB">
              <w:rPr>
                <w:sz w:val="28"/>
                <w:szCs w:val="28"/>
              </w:rPr>
              <w:t>Оперативно-аналитическ</w:t>
            </w:r>
            <w:r>
              <w:rPr>
                <w:sz w:val="28"/>
                <w:szCs w:val="28"/>
              </w:rPr>
              <w:t>ий</w:t>
            </w:r>
            <w:r w:rsidRPr="003826FB">
              <w:rPr>
                <w:sz w:val="28"/>
                <w:szCs w:val="28"/>
              </w:rPr>
              <w:t xml:space="preserve"> центр </w:t>
            </w:r>
          </w:p>
          <w:p w14:paraId="0E34349E" w14:textId="0862620E" w:rsidR="003826FB" w:rsidRDefault="003826FB" w:rsidP="003826FB">
            <w:pPr>
              <w:jc w:val="right"/>
              <w:rPr>
                <w:sz w:val="28"/>
                <w:szCs w:val="28"/>
              </w:rPr>
            </w:pPr>
            <w:r w:rsidRPr="003826FB">
              <w:rPr>
                <w:sz w:val="28"/>
                <w:szCs w:val="28"/>
              </w:rPr>
              <w:t>при Президенте Республики Беларусь</w:t>
            </w:r>
          </w:p>
          <w:p w14:paraId="7D79D7E0" w14:textId="77777777" w:rsidR="003826FB" w:rsidRDefault="003826FB" w:rsidP="003826FB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связи и информатизации</w:t>
            </w:r>
          </w:p>
          <w:p w14:paraId="162DDEBE" w14:textId="3F2159AB" w:rsidR="003826FB" w:rsidRPr="00873DAB" w:rsidRDefault="003826FB" w:rsidP="003826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Республики Беларусь</w:t>
            </w:r>
          </w:p>
        </w:tc>
      </w:tr>
    </w:tbl>
    <w:p w14:paraId="6AF39DF7" w14:textId="77777777" w:rsidR="00674F57" w:rsidRDefault="00674F57" w:rsidP="00873DAB">
      <w:pPr>
        <w:rPr>
          <w:sz w:val="28"/>
          <w:szCs w:val="28"/>
        </w:rPr>
      </w:pPr>
    </w:p>
    <w:p w14:paraId="1EFFF110" w14:textId="77777777" w:rsidR="00D76FC0" w:rsidRPr="00873DAB" w:rsidRDefault="007F12F9" w:rsidP="00873DA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3DAB">
        <w:rPr>
          <w:sz w:val="28"/>
          <w:szCs w:val="28"/>
        </w:rPr>
        <w:t xml:space="preserve">проверке </w:t>
      </w:r>
      <w:r w:rsidR="00873DAB">
        <w:rPr>
          <w:sz w:val="28"/>
          <w:szCs w:val="28"/>
          <w:lang w:val="en-US"/>
        </w:rPr>
        <w:t>ID</w:t>
      </w:r>
      <w:r w:rsidR="00984B27">
        <w:rPr>
          <w:sz w:val="28"/>
          <w:szCs w:val="28"/>
        </w:rPr>
        <w:t xml:space="preserve"> карт</w:t>
      </w:r>
    </w:p>
    <w:p w14:paraId="5BCFAEAE" w14:textId="77777777" w:rsidR="00D76FC0" w:rsidRDefault="00D76FC0" w:rsidP="00D76FC0">
      <w:pPr>
        <w:rPr>
          <w:sz w:val="28"/>
          <w:szCs w:val="28"/>
        </w:rPr>
      </w:pPr>
    </w:p>
    <w:p w14:paraId="496D2812" w14:textId="77777777" w:rsidR="00AF27CF" w:rsidRDefault="00AF27CF" w:rsidP="0042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2AA4761" w14:textId="5C8EB550" w:rsidR="008A52FF" w:rsidRDefault="003826FB" w:rsidP="00984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Постановления М</w:t>
      </w:r>
      <w:r w:rsidRPr="003826FB">
        <w:rPr>
          <w:sz w:val="28"/>
          <w:szCs w:val="28"/>
        </w:rPr>
        <w:t>инистерства внутренних дел Республики Беларусь, Оперативно-аналитического центра при Президенте Республики Беларусь и Министерства связи и информатизации Республики Беларусь</w:t>
      </w:r>
      <w:r>
        <w:rPr>
          <w:sz w:val="28"/>
          <w:szCs w:val="28"/>
        </w:rPr>
        <w:t xml:space="preserve"> от 5 августа 2016 года №211/11/19 </w:t>
      </w:r>
      <w:r w:rsidRPr="003826FB">
        <w:rPr>
          <w:sz w:val="28"/>
          <w:szCs w:val="28"/>
        </w:rPr>
        <w:t>«О порядке осуществления подтверждения операторами электросвязи сведений об абоненте»</w:t>
      </w:r>
      <w:r w:rsidR="008A52FF">
        <w:rPr>
          <w:sz w:val="28"/>
          <w:szCs w:val="28"/>
        </w:rPr>
        <w:t xml:space="preserve"> </w:t>
      </w:r>
      <w:r w:rsidR="008C718C">
        <w:rPr>
          <w:sz w:val="28"/>
          <w:szCs w:val="28"/>
        </w:rPr>
        <w:t xml:space="preserve">(далее Постановление) </w:t>
      </w:r>
      <w:r w:rsidR="008A52FF">
        <w:rPr>
          <w:sz w:val="28"/>
          <w:szCs w:val="28"/>
        </w:rPr>
        <w:t xml:space="preserve">операторы электросвязи для подтверждения сведений об абоненте используют </w:t>
      </w:r>
      <w:r w:rsidR="00873DAB" w:rsidRPr="00984B27">
        <w:rPr>
          <w:sz w:val="28"/>
          <w:szCs w:val="28"/>
        </w:rPr>
        <w:t>услуг</w:t>
      </w:r>
      <w:r w:rsidR="008A52FF">
        <w:rPr>
          <w:sz w:val="28"/>
          <w:szCs w:val="28"/>
        </w:rPr>
        <w:t>у</w:t>
      </w:r>
      <w:r w:rsidR="008C718C">
        <w:rPr>
          <w:sz w:val="28"/>
          <w:szCs w:val="28"/>
        </w:rPr>
        <w:t xml:space="preserve"> </w:t>
      </w:r>
      <w:r w:rsidR="00873DAB" w:rsidRPr="00984B27">
        <w:rPr>
          <w:sz w:val="28"/>
          <w:szCs w:val="28"/>
        </w:rPr>
        <w:t>3.09.03 «Подтверждение операторами электросвязи сведений об абонентах»</w:t>
      </w:r>
      <w:r w:rsidR="00EA00E8">
        <w:rPr>
          <w:sz w:val="28"/>
          <w:szCs w:val="28"/>
        </w:rPr>
        <w:t>,</w:t>
      </w:r>
      <w:r w:rsidR="00873DAB" w:rsidRPr="00984B27">
        <w:rPr>
          <w:sz w:val="28"/>
          <w:szCs w:val="28"/>
        </w:rPr>
        <w:t xml:space="preserve"> предоставляемой РУП «Национальный центр электронных услуг» на сайте Единого портала электронных услуг</w:t>
      </w:r>
      <w:r w:rsidR="008C718C">
        <w:rPr>
          <w:sz w:val="28"/>
          <w:szCs w:val="28"/>
        </w:rPr>
        <w:t>,</w:t>
      </w:r>
      <w:r w:rsidR="008A52FF">
        <w:rPr>
          <w:sz w:val="28"/>
          <w:szCs w:val="28"/>
        </w:rPr>
        <w:t xml:space="preserve"> </w:t>
      </w:r>
      <w:r w:rsidR="008C718C">
        <w:rPr>
          <w:sz w:val="28"/>
          <w:szCs w:val="28"/>
        </w:rPr>
        <w:t>но</w:t>
      </w:r>
      <w:r w:rsidR="008A52FF">
        <w:rPr>
          <w:sz w:val="28"/>
          <w:szCs w:val="28"/>
        </w:rPr>
        <w:t xml:space="preserve"> данная услуга не содержит сведений об абонентах с </w:t>
      </w:r>
      <w:r w:rsidR="008A52FF">
        <w:rPr>
          <w:sz w:val="28"/>
          <w:szCs w:val="28"/>
          <w:lang w:val="en-US"/>
        </w:rPr>
        <w:t>ID</w:t>
      </w:r>
      <w:r w:rsidR="008A52FF" w:rsidRPr="008A52FF">
        <w:rPr>
          <w:sz w:val="28"/>
          <w:szCs w:val="28"/>
        </w:rPr>
        <w:t xml:space="preserve"> </w:t>
      </w:r>
      <w:r w:rsidR="008A52FF">
        <w:rPr>
          <w:sz w:val="28"/>
          <w:szCs w:val="28"/>
        </w:rPr>
        <w:t>картами.</w:t>
      </w:r>
    </w:p>
    <w:p w14:paraId="35FAD938" w14:textId="3A6ED37F" w:rsidR="008C718C" w:rsidRDefault="008A52FF" w:rsidP="008C7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полученным ТОС разъяснением </w:t>
      </w:r>
      <w:r w:rsidRPr="00984B27">
        <w:rPr>
          <w:sz w:val="28"/>
          <w:szCs w:val="28"/>
        </w:rPr>
        <w:t>РУП «Национальный центр электронных услуг»</w:t>
      </w:r>
      <w:r w:rsidR="008C7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сентября 2023 года доступна </w:t>
      </w:r>
      <w:r w:rsidR="008C718C">
        <w:rPr>
          <w:sz w:val="28"/>
          <w:szCs w:val="28"/>
        </w:rPr>
        <w:t>новая услуга код 3.75.01 </w:t>
      </w:r>
      <w:r w:rsidR="008C718C" w:rsidRPr="008C718C">
        <w:rPr>
          <w:sz w:val="28"/>
          <w:szCs w:val="28"/>
        </w:rPr>
        <w:t>«Предоставление сведений о действительности документов, удостоверяющих личность»</w:t>
      </w:r>
      <w:r w:rsidR="008C718C">
        <w:rPr>
          <w:sz w:val="28"/>
          <w:szCs w:val="28"/>
        </w:rPr>
        <w:t xml:space="preserve">, однако данная услуга не полностью соответствует требованиям Постановления. </w:t>
      </w:r>
    </w:p>
    <w:p w14:paraId="02223D43" w14:textId="11D14732" w:rsidR="008C718C" w:rsidRDefault="00B652DF" w:rsidP="008C718C">
      <w:pPr>
        <w:ind w:firstLine="720"/>
        <w:jc w:val="both"/>
        <w:rPr>
          <w:sz w:val="28"/>
          <w:szCs w:val="28"/>
        </w:rPr>
      </w:pPr>
      <w:r w:rsidRPr="00B652DF">
        <w:rPr>
          <w:sz w:val="28"/>
          <w:szCs w:val="28"/>
        </w:rPr>
        <w:t xml:space="preserve">Просим дать </w:t>
      </w:r>
      <w:r w:rsidRPr="00B652DF">
        <w:rPr>
          <w:sz w:val="28"/>
          <w:szCs w:val="28"/>
        </w:rPr>
        <w:t>разъяснение,</w:t>
      </w:r>
      <w:r w:rsidRPr="00B652DF">
        <w:rPr>
          <w:sz w:val="28"/>
          <w:szCs w:val="28"/>
        </w:rPr>
        <w:t xml:space="preserve"> каким образом операторам </w:t>
      </w:r>
      <w:r>
        <w:rPr>
          <w:sz w:val="28"/>
          <w:szCs w:val="28"/>
        </w:rPr>
        <w:t>электросвязи</w:t>
      </w:r>
      <w:r w:rsidRPr="00B6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B652DF">
        <w:rPr>
          <w:sz w:val="28"/>
          <w:szCs w:val="28"/>
        </w:rPr>
        <w:t>осуществлять подтверждение сведений об абонентах имеющих только ID карту.</w:t>
      </w:r>
      <w:r w:rsidR="008C718C">
        <w:rPr>
          <w:sz w:val="28"/>
          <w:szCs w:val="28"/>
        </w:rPr>
        <w:t xml:space="preserve"> </w:t>
      </w:r>
      <w:r w:rsidR="00D76FC0">
        <w:rPr>
          <w:sz w:val="28"/>
          <w:szCs w:val="28"/>
        </w:rPr>
        <w:t xml:space="preserve"> </w:t>
      </w:r>
      <w:bookmarkStart w:id="0" w:name="_GoBack"/>
      <w:bookmarkEnd w:id="0"/>
      <w:r w:rsidR="00D76FC0">
        <w:rPr>
          <w:sz w:val="28"/>
          <w:szCs w:val="28"/>
        </w:rPr>
        <w:t xml:space="preserve">      </w:t>
      </w:r>
    </w:p>
    <w:p w14:paraId="3AB36785" w14:textId="77777777" w:rsidR="00B652DF" w:rsidRDefault="00B652DF" w:rsidP="008C718C">
      <w:pPr>
        <w:ind w:firstLine="720"/>
        <w:jc w:val="both"/>
        <w:rPr>
          <w:sz w:val="28"/>
          <w:szCs w:val="28"/>
        </w:rPr>
      </w:pPr>
    </w:p>
    <w:p w14:paraId="737952A6" w14:textId="77777777" w:rsidR="008C718C" w:rsidRDefault="008C718C" w:rsidP="008C71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6853B7A3" w14:textId="77777777" w:rsidR="00F26E80" w:rsidRDefault="008C718C" w:rsidP="008C7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ТОС в адрес </w:t>
      </w:r>
      <w:r w:rsidR="00F26E80">
        <w:rPr>
          <w:sz w:val="28"/>
          <w:szCs w:val="28"/>
        </w:rPr>
        <w:t>НЦЭУ на 1 л. в 1 экз.</w:t>
      </w:r>
    </w:p>
    <w:p w14:paraId="0FBC76C6" w14:textId="3D91A9B1" w:rsidR="00D76FC0" w:rsidRDefault="00F26E80" w:rsidP="008C718C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 НЦЭУ на 1 л. в 1 экз.</w:t>
      </w:r>
      <w:r w:rsidR="00D76FC0">
        <w:rPr>
          <w:sz w:val="28"/>
          <w:szCs w:val="28"/>
        </w:rPr>
        <w:t xml:space="preserve">                </w:t>
      </w:r>
    </w:p>
    <w:p w14:paraId="4C254EDD" w14:textId="77777777" w:rsidR="00D76FC0" w:rsidRDefault="00D76FC0" w:rsidP="0067339B">
      <w:pPr>
        <w:tabs>
          <w:tab w:val="left" w:pos="1701"/>
          <w:tab w:val="left" w:pos="6804"/>
        </w:tabs>
        <w:ind w:firstLine="709"/>
        <w:jc w:val="both"/>
        <w:rPr>
          <w:sz w:val="28"/>
          <w:szCs w:val="28"/>
        </w:rPr>
      </w:pPr>
    </w:p>
    <w:p w14:paraId="5415EC0E" w14:textId="517FC474" w:rsidR="00D76FC0" w:rsidRDefault="008C718C" w:rsidP="008C718C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Гетман</w:t>
      </w:r>
    </w:p>
    <w:p w14:paraId="680DADE0" w14:textId="77777777" w:rsidR="00984B27" w:rsidRDefault="00984B27" w:rsidP="00021636">
      <w:pPr>
        <w:jc w:val="both"/>
        <w:rPr>
          <w:sz w:val="18"/>
        </w:rPr>
      </w:pPr>
    </w:p>
    <w:p w14:paraId="6FD44D94" w14:textId="77777777" w:rsidR="00984B27" w:rsidRDefault="00984B27" w:rsidP="00021636">
      <w:pPr>
        <w:jc w:val="both"/>
        <w:rPr>
          <w:sz w:val="18"/>
        </w:rPr>
      </w:pPr>
    </w:p>
    <w:p w14:paraId="3EB1137D" w14:textId="77777777" w:rsidR="00984B27" w:rsidRDefault="00984B27" w:rsidP="00021636">
      <w:pPr>
        <w:jc w:val="both"/>
        <w:rPr>
          <w:sz w:val="18"/>
        </w:rPr>
      </w:pPr>
    </w:p>
    <w:p w14:paraId="4977DF9A" w14:textId="5ABB2D1F" w:rsidR="00F26E80" w:rsidRDefault="00F26E80" w:rsidP="00021636">
      <w:pPr>
        <w:jc w:val="both"/>
        <w:rPr>
          <w:sz w:val="18"/>
        </w:rPr>
      </w:pPr>
    </w:p>
    <w:p w14:paraId="59BEECEE" w14:textId="77777777" w:rsidR="00F26E80" w:rsidRDefault="00F26E80" w:rsidP="00021636">
      <w:pPr>
        <w:jc w:val="both"/>
        <w:rPr>
          <w:sz w:val="18"/>
        </w:rPr>
      </w:pPr>
    </w:p>
    <w:p w14:paraId="1CAAE7D8" w14:textId="1827C9DD" w:rsidR="004C2BDF" w:rsidRPr="000A296C" w:rsidRDefault="00984B27" w:rsidP="00021636">
      <w:pPr>
        <w:jc w:val="both"/>
        <w:rPr>
          <w:sz w:val="20"/>
          <w:szCs w:val="20"/>
        </w:rPr>
      </w:pPr>
      <w:r>
        <w:rPr>
          <w:sz w:val="18"/>
        </w:rPr>
        <w:t>т</w:t>
      </w:r>
      <w:r w:rsidR="00D76FC0">
        <w:rPr>
          <w:sz w:val="18"/>
        </w:rPr>
        <w:t>. 256 28 1</w:t>
      </w:r>
      <w:r w:rsidR="00D76FC0" w:rsidRPr="00667D71">
        <w:rPr>
          <w:sz w:val="18"/>
        </w:rPr>
        <w:t>7</w:t>
      </w:r>
    </w:p>
    <w:sectPr w:rsidR="004C2BDF" w:rsidRPr="000A296C" w:rsidSect="00F26E80">
      <w:pgSz w:w="11906" w:h="16838"/>
      <w:pgMar w:top="1134" w:right="850" w:bottom="28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C45"/>
    <w:multiLevelType w:val="hybridMultilevel"/>
    <w:tmpl w:val="C38A1648"/>
    <w:lvl w:ilvl="0" w:tplc="8B5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504F2"/>
    <w:multiLevelType w:val="hybridMultilevel"/>
    <w:tmpl w:val="A8FC6948"/>
    <w:lvl w:ilvl="0" w:tplc="839C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05DC5"/>
    <w:multiLevelType w:val="hybridMultilevel"/>
    <w:tmpl w:val="2BCEF8EC"/>
    <w:lvl w:ilvl="0" w:tplc="A3E2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81DD7"/>
    <w:multiLevelType w:val="hybridMultilevel"/>
    <w:tmpl w:val="5A340CBA"/>
    <w:lvl w:ilvl="0" w:tplc="31284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006232"/>
    <w:multiLevelType w:val="hybridMultilevel"/>
    <w:tmpl w:val="3EEA2636"/>
    <w:lvl w:ilvl="0" w:tplc="EBE07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B"/>
    <w:rsid w:val="00005500"/>
    <w:rsid w:val="000178EA"/>
    <w:rsid w:val="00021636"/>
    <w:rsid w:val="00023154"/>
    <w:rsid w:val="00047A4E"/>
    <w:rsid w:val="000A296C"/>
    <w:rsid w:val="000B79E6"/>
    <w:rsid w:val="000C0377"/>
    <w:rsid w:val="000D3851"/>
    <w:rsid w:val="000E4893"/>
    <w:rsid w:val="0010258C"/>
    <w:rsid w:val="00114F73"/>
    <w:rsid w:val="00122A6D"/>
    <w:rsid w:val="001368C9"/>
    <w:rsid w:val="00153D5A"/>
    <w:rsid w:val="00163E3B"/>
    <w:rsid w:val="001660D4"/>
    <w:rsid w:val="001763AD"/>
    <w:rsid w:val="00197143"/>
    <w:rsid w:val="001A4C49"/>
    <w:rsid w:val="001B0A2F"/>
    <w:rsid w:val="001D2A05"/>
    <w:rsid w:val="002012DB"/>
    <w:rsid w:val="00205EEF"/>
    <w:rsid w:val="00211DF2"/>
    <w:rsid w:val="00217AF1"/>
    <w:rsid w:val="0024220C"/>
    <w:rsid w:val="00242B23"/>
    <w:rsid w:val="00244A3F"/>
    <w:rsid w:val="00250935"/>
    <w:rsid w:val="0025694C"/>
    <w:rsid w:val="00265D24"/>
    <w:rsid w:val="0029011C"/>
    <w:rsid w:val="002965DC"/>
    <w:rsid w:val="002976D3"/>
    <w:rsid w:val="002B0CDE"/>
    <w:rsid w:val="002E21BC"/>
    <w:rsid w:val="002E744A"/>
    <w:rsid w:val="00300A99"/>
    <w:rsid w:val="003067CA"/>
    <w:rsid w:val="00341C67"/>
    <w:rsid w:val="0035198F"/>
    <w:rsid w:val="00355907"/>
    <w:rsid w:val="003612EB"/>
    <w:rsid w:val="00363C91"/>
    <w:rsid w:val="003740AF"/>
    <w:rsid w:val="003826FB"/>
    <w:rsid w:val="003932EE"/>
    <w:rsid w:val="003B212B"/>
    <w:rsid w:val="003B5203"/>
    <w:rsid w:val="003C7C75"/>
    <w:rsid w:val="003D2A7A"/>
    <w:rsid w:val="003D4E45"/>
    <w:rsid w:val="003D71F6"/>
    <w:rsid w:val="003E0313"/>
    <w:rsid w:val="003E709A"/>
    <w:rsid w:val="00402CFA"/>
    <w:rsid w:val="00410890"/>
    <w:rsid w:val="00420B55"/>
    <w:rsid w:val="004235FB"/>
    <w:rsid w:val="00424654"/>
    <w:rsid w:val="004276B7"/>
    <w:rsid w:val="00433F17"/>
    <w:rsid w:val="00441225"/>
    <w:rsid w:val="00446E08"/>
    <w:rsid w:val="004520A0"/>
    <w:rsid w:val="00472ABC"/>
    <w:rsid w:val="004778CA"/>
    <w:rsid w:val="0048409C"/>
    <w:rsid w:val="004C2BDF"/>
    <w:rsid w:val="004C3B85"/>
    <w:rsid w:val="004E2204"/>
    <w:rsid w:val="004F6ECE"/>
    <w:rsid w:val="0050200C"/>
    <w:rsid w:val="00503E25"/>
    <w:rsid w:val="0051440A"/>
    <w:rsid w:val="005259C3"/>
    <w:rsid w:val="005460E3"/>
    <w:rsid w:val="00554504"/>
    <w:rsid w:val="00567F6B"/>
    <w:rsid w:val="005769EC"/>
    <w:rsid w:val="00582F18"/>
    <w:rsid w:val="005947A8"/>
    <w:rsid w:val="005A2F4A"/>
    <w:rsid w:val="005A5D50"/>
    <w:rsid w:val="005A5E08"/>
    <w:rsid w:val="005D31B5"/>
    <w:rsid w:val="005D510D"/>
    <w:rsid w:val="005D7B52"/>
    <w:rsid w:val="005E3AE8"/>
    <w:rsid w:val="00603CD8"/>
    <w:rsid w:val="0060716C"/>
    <w:rsid w:val="0061535D"/>
    <w:rsid w:val="00643E51"/>
    <w:rsid w:val="0064438C"/>
    <w:rsid w:val="006529DD"/>
    <w:rsid w:val="0065746C"/>
    <w:rsid w:val="00667D71"/>
    <w:rsid w:val="0067339B"/>
    <w:rsid w:val="00674F57"/>
    <w:rsid w:val="00675CDD"/>
    <w:rsid w:val="006842B3"/>
    <w:rsid w:val="006A19DE"/>
    <w:rsid w:val="006B404A"/>
    <w:rsid w:val="006B6453"/>
    <w:rsid w:val="006D112E"/>
    <w:rsid w:val="006D552E"/>
    <w:rsid w:val="006D7D79"/>
    <w:rsid w:val="006E030C"/>
    <w:rsid w:val="0070011B"/>
    <w:rsid w:val="007062DC"/>
    <w:rsid w:val="00706BE4"/>
    <w:rsid w:val="00717B33"/>
    <w:rsid w:val="00722FCA"/>
    <w:rsid w:val="007455F3"/>
    <w:rsid w:val="00756C8B"/>
    <w:rsid w:val="00764BE6"/>
    <w:rsid w:val="00772923"/>
    <w:rsid w:val="007C41A7"/>
    <w:rsid w:val="007D485A"/>
    <w:rsid w:val="007D4CED"/>
    <w:rsid w:val="007E78FD"/>
    <w:rsid w:val="007F12F9"/>
    <w:rsid w:val="007F55A5"/>
    <w:rsid w:val="007F79E0"/>
    <w:rsid w:val="008014FC"/>
    <w:rsid w:val="00826794"/>
    <w:rsid w:val="00827AB5"/>
    <w:rsid w:val="008675A1"/>
    <w:rsid w:val="00873DAB"/>
    <w:rsid w:val="00875CEE"/>
    <w:rsid w:val="0089668C"/>
    <w:rsid w:val="00896B6C"/>
    <w:rsid w:val="008A3CEA"/>
    <w:rsid w:val="008A52FF"/>
    <w:rsid w:val="008B260C"/>
    <w:rsid w:val="008B28D5"/>
    <w:rsid w:val="008C718C"/>
    <w:rsid w:val="008E4E8B"/>
    <w:rsid w:val="009073B5"/>
    <w:rsid w:val="0091529E"/>
    <w:rsid w:val="00917B28"/>
    <w:rsid w:val="00921D7C"/>
    <w:rsid w:val="009245E3"/>
    <w:rsid w:val="0094057C"/>
    <w:rsid w:val="00944B98"/>
    <w:rsid w:val="0095411C"/>
    <w:rsid w:val="009565F9"/>
    <w:rsid w:val="00976B70"/>
    <w:rsid w:val="00984B27"/>
    <w:rsid w:val="009A54FA"/>
    <w:rsid w:val="009B19A6"/>
    <w:rsid w:val="009B1A32"/>
    <w:rsid w:val="009D0488"/>
    <w:rsid w:val="009D0F4D"/>
    <w:rsid w:val="009D4481"/>
    <w:rsid w:val="009E01F5"/>
    <w:rsid w:val="009F5611"/>
    <w:rsid w:val="00A12DE0"/>
    <w:rsid w:val="00A1640A"/>
    <w:rsid w:val="00A37B13"/>
    <w:rsid w:val="00A4364F"/>
    <w:rsid w:val="00A46C55"/>
    <w:rsid w:val="00A537A9"/>
    <w:rsid w:val="00A55400"/>
    <w:rsid w:val="00A62277"/>
    <w:rsid w:val="00A77B3E"/>
    <w:rsid w:val="00A817DA"/>
    <w:rsid w:val="00A92859"/>
    <w:rsid w:val="00AA14E4"/>
    <w:rsid w:val="00AA7A3A"/>
    <w:rsid w:val="00AB1D12"/>
    <w:rsid w:val="00AC0D43"/>
    <w:rsid w:val="00AD5AB2"/>
    <w:rsid w:val="00AE16AD"/>
    <w:rsid w:val="00AF0F64"/>
    <w:rsid w:val="00AF27CF"/>
    <w:rsid w:val="00AF7D86"/>
    <w:rsid w:val="00B32C9B"/>
    <w:rsid w:val="00B50AB1"/>
    <w:rsid w:val="00B5336F"/>
    <w:rsid w:val="00B558B1"/>
    <w:rsid w:val="00B652DF"/>
    <w:rsid w:val="00B65A8B"/>
    <w:rsid w:val="00BB7985"/>
    <w:rsid w:val="00BC1C18"/>
    <w:rsid w:val="00BC46AC"/>
    <w:rsid w:val="00BE0E17"/>
    <w:rsid w:val="00BE3235"/>
    <w:rsid w:val="00BE6B01"/>
    <w:rsid w:val="00C40DFD"/>
    <w:rsid w:val="00C54089"/>
    <w:rsid w:val="00C560C7"/>
    <w:rsid w:val="00C7213F"/>
    <w:rsid w:val="00C730E1"/>
    <w:rsid w:val="00C907B2"/>
    <w:rsid w:val="00CA0488"/>
    <w:rsid w:val="00CB2A96"/>
    <w:rsid w:val="00CB5ABC"/>
    <w:rsid w:val="00CE509F"/>
    <w:rsid w:val="00CF3DBE"/>
    <w:rsid w:val="00D11562"/>
    <w:rsid w:val="00D2020F"/>
    <w:rsid w:val="00D3296B"/>
    <w:rsid w:val="00D40EF5"/>
    <w:rsid w:val="00D478BB"/>
    <w:rsid w:val="00D62091"/>
    <w:rsid w:val="00D73EFC"/>
    <w:rsid w:val="00D76FC0"/>
    <w:rsid w:val="00D7754D"/>
    <w:rsid w:val="00D85789"/>
    <w:rsid w:val="00D87F52"/>
    <w:rsid w:val="00D91A3B"/>
    <w:rsid w:val="00D94E0D"/>
    <w:rsid w:val="00DD0FDD"/>
    <w:rsid w:val="00DD7848"/>
    <w:rsid w:val="00DE2F2B"/>
    <w:rsid w:val="00E12767"/>
    <w:rsid w:val="00E13CE3"/>
    <w:rsid w:val="00E56722"/>
    <w:rsid w:val="00E61C1E"/>
    <w:rsid w:val="00E67915"/>
    <w:rsid w:val="00E93C3C"/>
    <w:rsid w:val="00E96188"/>
    <w:rsid w:val="00EA00E8"/>
    <w:rsid w:val="00EA3BC7"/>
    <w:rsid w:val="00EB1F24"/>
    <w:rsid w:val="00EB64D2"/>
    <w:rsid w:val="00EC0C9E"/>
    <w:rsid w:val="00ED1A0E"/>
    <w:rsid w:val="00F22259"/>
    <w:rsid w:val="00F2251B"/>
    <w:rsid w:val="00F24F55"/>
    <w:rsid w:val="00F26E80"/>
    <w:rsid w:val="00F3584E"/>
    <w:rsid w:val="00F45015"/>
    <w:rsid w:val="00F53EFB"/>
    <w:rsid w:val="00F616EC"/>
    <w:rsid w:val="00F6719E"/>
    <w:rsid w:val="00F84C20"/>
    <w:rsid w:val="00F928FA"/>
    <w:rsid w:val="00FA03CA"/>
    <w:rsid w:val="00FC4E5C"/>
    <w:rsid w:val="00FC650C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D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rsid w:val="005D510D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0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10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10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510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D510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D510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rsid w:val="00D32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296B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667D71"/>
    <w:rPr>
      <w:color w:val="0000FF"/>
      <w:u w:val="single"/>
    </w:rPr>
  </w:style>
  <w:style w:type="paragraph" w:customStyle="1" w:styleId="ConsPlusNormal">
    <w:name w:val="ConsPlusNormal"/>
    <w:rsid w:val="007D4C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locked/>
    <w:rsid w:val="007E78F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73DAB"/>
    <w:pPr>
      <w:spacing w:before="100" w:beforeAutospacing="1" w:after="100" w:afterAutospacing="1"/>
    </w:pPr>
    <w:rPr>
      <w:color w:val="auto"/>
    </w:rPr>
  </w:style>
  <w:style w:type="character" w:styleId="ac">
    <w:name w:val="Strong"/>
    <w:basedOn w:val="a0"/>
    <w:uiPriority w:val="22"/>
    <w:qFormat/>
    <w:locked/>
    <w:rsid w:val="008C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rsid w:val="005D510D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0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10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10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510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D510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D510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rsid w:val="00D32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296B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667D71"/>
    <w:rPr>
      <w:color w:val="0000FF"/>
      <w:u w:val="single"/>
    </w:rPr>
  </w:style>
  <w:style w:type="paragraph" w:customStyle="1" w:styleId="ConsPlusNormal">
    <w:name w:val="ConsPlusNormal"/>
    <w:rsid w:val="007D4C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locked/>
    <w:rsid w:val="007E78F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73DAB"/>
    <w:pPr>
      <w:spacing w:before="100" w:beforeAutospacing="1" w:after="100" w:afterAutospacing="1"/>
    </w:pPr>
    <w:rPr>
      <w:color w:val="auto"/>
    </w:rPr>
  </w:style>
  <w:style w:type="character" w:styleId="ac">
    <w:name w:val="Strong"/>
    <w:basedOn w:val="a0"/>
    <w:uiPriority w:val="22"/>
    <w:qFormat/>
    <w:locked/>
    <w:rsid w:val="008C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Temp\Image_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s-b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s.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1252-1574-48AC-89C0-46BF73FC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Юля</cp:lastModifiedBy>
  <cp:revision>5</cp:revision>
  <cp:lastPrinted>2023-07-18T15:22:00Z</cp:lastPrinted>
  <dcterms:created xsi:type="dcterms:W3CDTF">2023-09-26T20:08:00Z</dcterms:created>
  <dcterms:modified xsi:type="dcterms:W3CDTF">2023-10-03T09:09:00Z</dcterms:modified>
</cp:coreProperties>
</file>